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  <w:r>
        <w:rPr>
          <w:rFonts w:hint="eastAsia" w:ascii="楷体_GB2312" w:hAnsi="方正粗黑宋简体" w:eastAsia="楷体_GB2312"/>
          <w:b/>
          <w:sz w:val="28"/>
          <w:szCs w:val="28"/>
        </w:rPr>
        <w:t>附件</w:t>
      </w:r>
      <w:r>
        <w:rPr>
          <w:rFonts w:ascii="楷体_GB2312" w:hAnsi="方正粗黑宋简体" w:eastAsia="楷体_GB2312"/>
          <w:b/>
          <w:sz w:val="28"/>
          <w:szCs w:val="28"/>
        </w:rPr>
        <w:t>1</w:t>
      </w:r>
    </w:p>
    <w:p>
      <w:pPr>
        <w:spacing w:line="560" w:lineRule="exact"/>
        <w:jc w:val="center"/>
        <w:rPr>
          <w:rFonts w:ascii="华康简标题宋" w:hAnsi="宋体" w:eastAsia="华康简标题宋"/>
          <w:bCs/>
          <w:sz w:val="32"/>
          <w:szCs w:val="32"/>
        </w:rPr>
      </w:pPr>
      <w:r>
        <w:rPr>
          <w:rFonts w:hint="eastAsia" w:ascii="华康简标题宋" w:hAnsi="宋体" w:eastAsia="华康简标题宋"/>
          <w:bCs/>
          <w:sz w:val="32"/>
          <w:szCs w:val="32"/>
        </w:rPr>
        <w:t>天津职业技术师范大学消防应急灯采购项目要求</w:t>
      </w:r>
    </w:p>
    <w:p>
      <w:pPr>
        <w:spacing w:line="56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一、附加商务需求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32" w:type="dxa"/>
            <w:vAlign w:val="center"/>
          </w:tcPr>
          <w:p>
            <w:pPr>
              <w:widowControl w:val="0"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序号</w:t>
            </w:r>
          </w:p>
        </w:tc>
        <w:tc>
          <w:tcPr>
            <w:tcW w:w="8057" w:type="dxa"/>
            <w:vAlign w:val="center"/>
          </w:tcPr>
          <w:p>
            <w:pPr>
              <w:widowControl w:val="0"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需求条款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32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57" w:type="dxa"/>
            <w:vAlign w:val="center"/>
          </w:tcPr>
          <w:p>
            <w:pPr>
              <w:widowControl w:val="0"/>
              <w:spacing w:after="0" w:line="56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★</w:t>
            </w:r>
            <w:r>
              <w:rPr>
                <w:rFonts w:hint="eastAsia" w:ascii="仿宋_GB2312" w:hAnsi="宋体" w:eastAsia="仿宋_GB2312" w:cs="Arial Unicode MS"/>
                <w:color w:val="000000"/>
                <w:kern w:val="2"/>
                <w:sz w:val="28"/>
                <w:szCs w:val="28"/>
              </w:rPr>
              <w:t>投标人严格遵守《中华人民共和国公司法》及相关法律、行业和地方法规等；无销售伪劣产品等不良记录，具有良好的社会信誉和商业道德。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按照《财政部关于在政府采购活动中查询及使用信用记录有关问题的通知》（财库〔</w:t>
            </w:r>
            <w:r>
              <w:rPr>
                <w:rFonts w:asci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eastAsia="仿宋_GB2312"/>
                <w:sz w:val="28"/>
                <w:szCs w:val="28"/>
              </w:rPr>
              <w:t>125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号）的要求，根据开标当日</w:t>
            </w:r>
            <w:r>
              <w:rPr>
                <w:rFonts w:ascii="仿宋_GB2312" w:eastAsia="仿宋_GB2312"/>
                <w:sz w:val="28"/>
                <w:szCs w:val="28"/>
              </w:rPr>
              <w:t>17:00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前“信用中国”网（</w:t>
            </w:r>
            <w:r>
              <w:rPr>
                <w:rFonts w:ascii="仿宋_GB2312" w:eastAsia="仿宋_GB2312"/>
                <w:sz w:val="28"/>
                <w:szCs w:val="28"/>
              </w:rPr>
              <w:t>www.creditchina.gov.cn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）、中国政府采购网（</w:t>
            </w:r>
            <w:r>
              <w:rPr>
                <w:rFonts w:ascii="仿宋_GB2312" w:eastAsia="仿宋_GB2312"/>
                <w:sz w:val="28"/>
                <w:szCs w:val="28"/>
              </w:rPr>
              <w:t>www.ccgp.gov.cn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）的信息，对列入失信被执行人、重大税收违法案件当事人名单、政府采购严重违法失信行为记录名单及其他不符合《中华人民共和国政府采购法》第二十二条规定条件的供应商，拒绝参投标活动。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32" w:type="dxa"/>
            <w:vAlign w:val="center"/>
          </w:tcPr>
          <w:p>
            <w:pPr>
              <w:widowControl w:val="0"/>
              <w:spacing w:before="100" w:beforeAutospacing="1" w:after="0" w:line="5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57" w:type="dxa"/>
            <w:vAlign w:val="center"/>
          </w:tcPr>
          <w:p>
            <w:pPr>
              <w:widowControl w:val="0"/>
              <w:spacing w:after="0" w:line="560" w:lineRule="exact"/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★投标人所投产品须符合《建筑设计防火规范》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GB50016—2014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2018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版）、《消防应急照明和疏散指示系统》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GB17945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等相关法律规定，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投标人应在投标文件中提供承诺函并加盖公章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，与此有关一切问题由投标人解决并承担相应责任。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32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57" w:type="dxa"/>
            <w:vAlign w:val="center"/>
          </w:tcPr>
          <w:p>
            <w:pPr>
              <w:widowControl w:val="0"/>
              <w:spacing w:after="0" w:line="560" w:lineRule="exact"/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★投标人拥有固定的经营场所，能够按照招标人指定的时间和地点配送、安装应急灯，</w:t>
            </w:r>
            <w:r>
              <w:rPr>
                <w:rFonts w:hint="eastAsia" w:ascii="仿宋_GB2312" w:hAnsi="宋体" w:eastAsia="仿宋_GB2312" w:cs="Arial Unicode MS"/>
                <w:color w:val="000000"/>
                <w:kern w:val="2"/>
                <w:sz w:val="28"/>
                <w:szCs w:val="28"/>
              </w:rPr>
              <w:t>并在产品质保期内能够及时提供更换和调试服务，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投标人应在投标文件中提供承诺函并加盖公章</w:t>
            </w:r>
            <w:r>
              <w:rPr>
                <w:rFonts w:hint="eastAsia" w:ascii="仿宋_GB2312" w:hAnsi="宋体" w:eastAsia="仿宋_GB2312" w:cs="Arial Unicode MS"/>
                <w:color w:val="000000"/>
                <w:kern w:val="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32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57" w:type="dxa"/>
            <w:vAlign w:val="center"/>
          </w:tcPr>
          <w:p>
            <w:pPr>
              <w:widowControl w:val="0"/>
              <w:spacing w:after="0" w:line="560" w:lineRule="exact"/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★投标人应具有国内专业技术人员组成的服务团队，投标文件中须提供身份证、在职证明、职称证明等加以佐证。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32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57" w:type="dxa"/>
            <w:vAlign w:val="center"/>
          </w:tcPr>
          <w:p>
            <w:pPr>
              <w:widowControl w:val="0"/>
              <w:spacing w:after="0" w:line="560" w:lineRule="exact"/>
              <w:jc w:val="both"/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★投标人须进行现场实地勘察，勘察时间为2020年11月5日。</w:t>
            </w:r>
          </w:p>
        </w:tc>
      </w:tr>
    </w:tbl>
    <w:p>
      <w:pPr>
        <w:spacing w:after="0" w:line="560" w:lineRule="exact"/>
        <w:rPr>
          <w:rFonts w:ascii="宋体" w:hAnsi="宋体" w:eastAsia="宋体"/>
          <w:b/>
          <w:bCs/>
          <w:sz w:val="24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二、技术需求</w:t>
      </w:r>
    </w:p>
    <w:tbl>
      <w:tblPr>
        <w:tblStyle w:val="4"/>
        <w:tblpPr w:leftFromText="180" w:rightFromText="180" w:vertAnchor="text" w:horzAnchor="margin" w:tblpXSpec="center" w:tblpY="74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613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613" w:type="dxa"/>
            <w:vAlign w:val="center"/>
          </w:tcPr>
          <w:p>
            <w:pPr>
              <w:widowControl w:val="0"/>
              <w:spacing w:after="0" w:line="540" w:lineRule="exact"/>
              <w:ind w:firstLine="562" w:firstLineChars="200"/>
              <w:rPr>
                <w:rFonts w:ascii="仿宋_GB2312" w:hAnsi="宋体" w:eastAsia="仿宋_GB2312" w:cs="宋体"/>
                <w:b/>
                <w:kern w:val="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kern w:val="2"/>
                <w:sz w:val="28"/>
                <w:szCs w:val="28"/>
              </w:rPr>
              <w:t>、供货范围：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内容详见附件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中的消防应急灯具体采购目录。</w:t>
            </w:r>
          </w:p>
          <w:p>
            <w:pPr>
              <w:widowControl w:val="0"/>
              <w:spacing w:after="0" w:line="540" w:lineRule="exact"/>
              <w:ind w:firstLine="562" w:firstLineChars="200"/>
              <w:rPr>
                <w:rFonts w:ascii="仿宋_GB2312" w:hAnsi="宋体" w:eastAsia="仿宋_GB2312" w:cs="宋体"/>
                <w:sz w:val="28"/>
                <w:szCs w:val="28"/>
                <w:lang w:val="zh-TW" w:eastAsia="zh-TW"/>
              </w:rPr>
            </w:pPr>
            <w:r>
              <w:rPr>
                <w:rFonts w:ascii="仿宋_GB2312" w:hAnsi="宋体" w:eastAsia="仿宋_GB2312" w:cs="宋体"/>
                <w:b/>
                <w:kern w:val="2"/>
                <w:sz w:val="28"/>
                <w:szCs w:val="28"/>
                <w:lang w:val="zh-TW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2"/>
                <w:sz w:val="28"/>
                <w:szCs w:val="28"/>
                <w:lang w:val="zh-TW"/>
              </w:rPr>
              <w:t>、</w:t>
            </w:r>
            <w:r>
              <w:rPr>
                <w:rFonts w:hint="eastAsia" w:ascii="仿宋_GB2312" w:hAnsi="宋体" w:eastAsia="仿宋_GB2312" w:cs="宋体"/>
                <w:b/>
                <w:kern w:val="2"/>
                <w:sz w:val="28"/>
                <w:szCs w:val="28"/>
                <w:lang w:val="zh-TW" w:eastAsia="zh-TW"/>
              </w:rPr>
              <w:t>报价要求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TW" w:eastAsia="zh-TW"/>
              </w:rPr>
              <w:t>：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TW" w:eastAsia="zh-TW"/>
              </w:rPr>
              <w:t>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TW" w:eastAsia="zh-TW"/>
              </w:rPr>
              <w:t>）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投标人的报价应包括：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货款、税费、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TW"/>
              </w:rPr>
              <w:t>运输费、运输保险费、装卸费、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人工费、调试费、辅助材料</w:t>
            </w:r>
            <w:r>
              <w:rPr>
                <w:rFonts w:hint="eastAsia" w:ascii="仿宋_GB2312" w:hAnsi="宋体" w:eastAsia="仿宋_GB2312" w:cs="宋体"/>
                <w:bCs/>
                <w:kern w:val="2"/>
                <w:sz w:val="28"/>
                <w:szCs w:val="28"/>
              </w:rPr>
              <w:t>及其他全部的费用。投标人所报价格为全部应急灯交付及完成本项目的最终价格。中标后采购人不再另外支付其他费用。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eastAsia="zh-TW"/>
              </w:rPr>
              <w:t>（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eastAsia="zh-TW"/>
              </w:rPr>
              <w:t>）项目实施过程中如需要其他资源，在方案中没有说明的，实施中所产生的费用由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供应商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eastAsia="zh-TW"/>
              </w:rPr>
              <w:t>承担。</w:t>
            </w:r>
          </w:p>
          <w:p>
            <w:pPr>
              <w:spacing w:after="0" w:line="540" w:lineRule="exact"/>
              <w:ind w:firstLine="560" w:firstLineChars="200"/>
              <w:rPr>
                <w:rFonts w:ascii="仿宋_GB2312" w:hAnsi="宋体" w:eastAsia="仿宋_GB2312" w:cs="Arial Unicode MS"/>
                <w:kern w:val="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val="zh-TW" w:eastAsia="zh-TW"/>
              </w:rPr>
              <w:t>（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val="zh-TW" w:eastAsia="zh-TW"/>
              </w:rPr>
              <w:t>）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保证到货率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100%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。在合同签订之日起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日内，所有产品必须配送、安装、调试到位，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val="zh-TW"/>
              </w:rPr>
              <w:t>出现影响到货率的不可抗因素，双方共同协商解决。</w:t>
            </w:r>
          </w:p>
          <w:p>
            <w:pPr>
              <w:spacing w:after="0" w:line="540" w:lineRule="exact"/>
              <w:ind w:firstLine="560" w:firstLineChars="200"/>
              <w:rPr>
                <w:rFonts w:ascii="仿宋_GB2312" w:hAnsi="宋体" w:eastAsia="仿宋_GB2312" w:cs="Arial Unicode MS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eastAsia="zh-TW"/>
              </w:rPr>
              <w:t>供应商须按附件</w:t>
            </w:r>
            <w:r>
              <w:rPr>
                <w:rFonts w:ascii="仿宋_GB2312" w:hAnsi="宋体" w:eastAsia="仿宋_GB2312" w:cs="Arial Unicode MS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  <w:lang w:eastAsia="zh-TW"/>
              </w:rPr>
              <w:t>所列目录</w:t>
            </w: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整包报价，</w:t>
            </w:r>
            <w:r>
              <w:rPr>
                <w:rFonts w:hint="eastAsia" w:ascii="仿宋_GB2312" w:hAnsi="宋体" w:eastAsia="仿宋_GB2312" w:cs="Arial Unicode MS"/>
                <w:color w:val="000000"/>
                <w:kern w:val="2"/>
                <w:sz w:val="28"/>
                <w:szCs w:val="28"/>
              </w:rPr>
              <w:t>最接近平均价位者中标。</w:t>
            </w:r>
          </w:p>
          <w:p>
            <w:pPr>
              <w:spacing w:after="0" w:line="540" w:lineRule="exact"/>
              <w:ind w:firstLine="562" w:firstLineChars="200"/>
              <w:rPr>
                <w:rFonts w:ascii="仿宋_GB2312" w:hAnsi="宋体" w:eastAsia="仿宋_GB2312" w:cs="宋体"/>
                <w:b/>
                <w:kern w:val="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kern w:val="2"/>
                <w:sz w:val="28"/>
                <w:szCs w:val="28"/>
              </w:rPr>
              <w:t>、产品质量要求：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kern w:val="2"/>
                <w:sz w:val="28"/>
                <w:szCs w:val="28"/>
              </w:rPr>
              <w:t>★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）产品质量验证：投标人提供的消防应急照明灯须全部通过国家消防检验报告，产品身份识别可在国家消防产品合格评定中心查询；投标人须提供产品的国家消防强制性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3C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认证和产品检验报告。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）应急灯技术参数要求：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光源类型：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LED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芯片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额定电压：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DC36V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额定功率：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3W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通信模式：二总线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应急时间：≥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90min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应急光效：＞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150LM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防护等级：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IP30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应急转换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 xml:space="preserve">: 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＜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0.2s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使用环境温度：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-15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℃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——55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℃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材质：阻燃灯箱、灯头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）应急电源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技术参数要求：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额定功率：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1000W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额定电压：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36V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应急工作时间：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90min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电池类别：锂电池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防护等级：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IP33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应急电源需带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LCD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显示屏，工作状态时需显示电池电压，负载电流信息等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）安装及配套材料要求：应急灯安装须符合《民用建筑设计统一标准》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GB50352-2019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等相关建筑规范要求。配套敷设电线、电缆应具备耐火且满足允许长期工作的最高额定温度；明敷配电线管应使用金属管道，并且刷防涂料保护；暗敷配电线使用金属管道所需保护层不小于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30mm;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使用隐蔽塑料管时，应使用阻燃型材料，且塑料管的氧指数≥</w:t>
            </w: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27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每套应急灯配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套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孔插座及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明装盒。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2"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投标人开标当天可以携带样品参加投标。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</w:rPr>
              <w:t>、服务要求：</w:t>
            </w:r>
          </w:p>
          <w:p>
            <w:pPr>
              <w:widowControl w:val="0"/>
              <w:spacing w:after="0" w:line="540" w:lineRule="exact"/>
              <w:ind w:left="220" w:leftChars="100" w:firstLine="280" w:firstLineChars="1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）中标供应商应按采购人规定的时间要求及时免费送货，放置到指定地点并供电子发货清单。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）送货时应搬运到采购人指定地点，分批码放，并能根据要求协商送货时间。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）配送及调试过程中出现应急灯破损、故障或经调试不符合消防安全要求等情况，由中标供应商更换或退货。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）以上情况中，退、换货过程中产生的费用，由中标供应商承担。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）中标方按照质保时间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年内须免费上门保修，保修期内免费更换零配件。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×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24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小时技术响应，</w:t>
            </w:r>
            <w:r>
              <w:rPr>
                <w:rFonts w:ascii="仿宋_GB2312" w:hAnsi="宋体" w:eastAsia="仿宋_GB2312" w:cs="宋体"/>
                <w:kern w:val="2"/>
                <w:sz w:val="28"/>
                <w:szCs w:val="28"/>
              </w:rPr>
              <w:t>24</w:t>
            </w:r>
            <w:r>
              <w:rPr>
                <w:rFonts w:hint="eastAsia" w:ascii="仿宋_GB2312" w:hAnsi="宋体" w:eastAsia="仿宋_GB2312" w:cs="宋体"/>
                <w:kern w:val="2"/>
                <w:sz w:val="28"/>
                <w:szCs w:val="28"/>
              </w:rPr>
              <w:t>小时内维修工程师到达维修现场。</w:t>
            </w:r>
          </w:p>
          <w:p>
            <w:pPr>
              <w:widowControl w:val="0"/>
              <w:spacing w:after="0" w:line="540" w:lineRule="exact"/>
              <w:ind w:firstLine="562" w:firstLineChars="200"/>
              <w:rPr>
                <w:rFonts w:ascii="仿宋_GB2312" w:hAnsi="宋体" w:eastAsia="仿宋_GB2312" w:cs="宋体"/>
                <w:b/>
                <w:kern w:val="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宋体"/>
                <w:b/>
                <w:kern w:val="2"/>
                <w:sz w:val="28"/>
                <w:szCs w:val="28"/>
              </w:rPr>
              <w:t>、结算：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）最终消防应急灯采购清单经过双方确认之后，依照中标供应商中标价格结款。本项目的实施过程中，采购方除本款项外，不再支付其他费用。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）付款方式：采购人与中标供应商按有关程序对货物验收合格，且经调试达到</w:t>
            </w:r>
            <w:r>
              <w:rPr>
                <w:rFonts w:ascii="仿宋_GB2312" w:hAnsi="宋体" w:eastAsia="仿宋_GB2312"/>
                <w:kern w:val="2"/>
                <w:sz w:val="28"/>
                <w:szCs w:val="28"/>
              </w:rPr>
              <w:t>100%</w:t>
            </w: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完好率后，以采购人最后验收的金额为基数，按实际发生金额进行一次性付款。结算币种均为人民币。如因采购人原因不能及时结算的，双方协商为准。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）中标供应商须向采购方开具本项目等额的正式发票。收款方、出具发票方、合同乙方均必须与中标供应商名称一致。</w:t>
            </w:r>
          </w:p>
          <w:p>
            <w:pPr>
              <w:widowControl w:val="0"/>
              <w:spacing w:after="0" w:line="540" w:lineRule="exact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kern w:val="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kern w:val="2"/>
                <w:sz w:val="28"/>
                <w:szCs w:val="28"/>
              </w:rPr>
              <w:t>）中标供应商应保证结款过程信息交流渠道畅通，有专人负责收发订单、结付发票、应急灯使用反馈及其他相关事宜。</w:t>
            </w:r>
          </w:p>
        </w:tc>
      </w:tr>
    </w:tbl>
    <w:p>
      <w:pPr>
        <w:spacing w:before="240" w:line="56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说明：</w:t>
      </w:r>
      <w:r>
        <w:rPr>
          <w:rFonts w:ascii="楷体_GB2312" w:hAnsi="宋体" w:eastAsia="楷体_GB2312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>本文件中，</w:t>
      </w:r>
      <w:r>
        <w:rPr>
          <w:rFonts w:ascii="楷体_GB2312" w:hAnsi="宋体" w:eastAsia="楷体_GB2312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>带“★”</w:t>
      </w:r>
      <w:r>
        <w:rPr>
          <w:rFonts w:ascii="楷体_GB2312" w:hAnsi="宋体" w:eastAsia="楷体_GB2312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>标记的内容为实质性条款，</w:t>
      </w:r>
      <w:r>
        <w:rPr>
          <w:rFonts w:ascii="楷体_GB2312" w:hAnsi="宋体" w:eastAsia="楷体_GB2312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>投标人对标“★”内容不得有负偏离。</w:t>
      </w:r>
    </w:p>
    <w:p>
      <w:pPr>
        <w:spacing w:before="240" w:line="560" w:lineRule="exact"/>
        <w:rPr>
          <w:rFonts w:ascii="楷体_GB2312" w:hAnsi="宋体" w:eastAsia="楷体_GB2312"/>
          <w:sz w:val="28"/>
          <w:szCs w:val="28"/>
        </w:rPr>
      </w:pPr>
    </w:p>
    <w:p>
      <w:pPr>
        <w:spacing w:before="240" w:line="560" w:lineRule="exact"/>
        <w:rPr>
          <w:rFonts w:ascii="楷体_GB2312" w:hAnsi="宋体" w:eastAsia="楷体_GB2312"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</w:p>
    <w:p>
      <w:pPr>
        <w:spacing w:line="560" w:lineRule="exact"/>
        <w:rPr>
          <w:rFonts w:ascii="楷体_GB2312" w:hAnsi="方正粗黑宋简体" w:eastAsia="楷体_GB2312"/>
          <w:b/>
          <w:sz w:val="28"/>
          <w:szCs w:val="28"/>
        </w:rPr>
      </w:pPr>
      <w:r>
        <w:rPr>
          <w:rFonts w:hint="eastAsia" w:ascii="楷体_GB2312" w:hAnsi="方正粗黑宋简体" w:eastAsia="楷体_GB2312"/>
          <w:b/>
          <w:sz w:val="28"/>
          <w:szCs w:val="28"/>
        </w:rPr>
        <w:t>附件</w:t>
      </w:r>
      <w:r>
        <w:rPr>
          <w:rFonts w:ascii="楷体_GB2312" w:hAnsi="方正粗黑宋简体" w:eastAsia="楷体_GB2312"/>
          <w:b/>
          <w:sz w:val="28"/>
          <w:szCs w:val="28"/>
        </w:rPr>
        <w:t>2</w:t>
      </w:r>
    </w:p>
    <w:p>
      <w:pPr>
        <w:spacing w:line="560" w:lineRule="exact"/>
        <w:jc w:val="center"/>
        <w:rPr>
          <w:rFonts w:ascii="方正粗黑宋简体" w:hAnsi="方正粗黑宋简体" w:eastAsia="方正粗黑宋简体"/>
          <w:sz w:val="28"/>
          <w:szCs w:val="28"/>
        </w:rPr>
      </w:pPr>
      <w:r>
        <w:rPr>
          <w:rFonts w:hint="eastAsia" w:ascii="方正粗黑宋简体" w:hAnsi="方正粗黑宋简体" w:eastAsia="方正粗黑宋简体"/>
          <w:sz w:val="28"/>
          <w:szCs w:val="28"/>
        </w:rPr>
        <w:t>天津职业技术师范大学消防应急灯订购目录</w:t>
      </w:r>
    </w:p>
    <w:tbl>
      <w:tblPr>
        <w:tblStyle w:val="4"/>
        <w:tblW w:w="48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5099"/>
        <w:gridCol w:w="1241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03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置</w:t>
            </w: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楼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层</w:t>
            </w:r>
          </w:p>
        </w:tc>
        <w:tc>
          <w:tcPr>
            <w:tcW w:w="707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规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格</w:t>
            </w: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</w:t>
            </w:r>
            <w:r>
              <w:rPr>
                <w:rFonts w:ascii="仿宋_GB2312" w:eastAsia="仿宋_GB2312"/>
                <w:sz w:val="28"/>
                <w:szCs w:val="28"/>
              </w:rPr>
              <w:t>A</w:t>
            </w:r>
            <w:r>
              <w:rPr>
                <w:rFonts w:hint="eastAsia" w:ascii="仿宋_GB2312" w:eastAsia="仿宋_GB2312"/>
                <w:sz w:val="28"/>
                <w:szCs w:val="28"/>
              </w:rPr>
              <w:t>楼</w:t>
            </w: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一层</w:t>
            </w:r>
          </w:p>
        </w:tc>
        <w:tc>
          <w:tcPr>
            <w:tcW w:w="707" w:type="pct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充电式</w:t>
            </w:r>
            <w:r>
              <w:rPr>
                <w:rFonts w:ascii="仿宋_GB2312" w:eastAsia="仿宋_GB2312"/>
                <w:sz w:val="24"/>
                <w:szCs w:val="24"/>
              </w:rPr>
              <w:t>LED</w:t>
            </w:r>
            <w:r>
              <w:rPr>
                <w:rFonts w:hint="eastAsia" w:ascii="仿宋_GB2312" w:eastAsia="仿宋_GB2312"/>
                <w:sz w:val="24"/>
                <w:szCs w:val="24"/>
              </w:rPr>
              <w:t>双头消防应急照明灯</w:t>
            </w: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八层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九层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十层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十一层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地下一层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（东南）楼梯走道</w:t>
            </w:r>
            <w:r>
              <w:rPr>
                <w:rFonts w:ascii="仿宋_GB2312" w:eastAsia="仿宋_GB2312"/>
                <w:sz w:val="28"/>
                <w:szCs w:val="28"/>
              </w:rPr>
              <w:t>-1-11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（西南）楼梯走道</w:t>
            </w:r>
            <w:r>
              <w:rPr>
                <w:rFonts w:ascii="仿宋_GB2312" w:eastAsia="仿宋_GB2312"/>
                <w:sz w:val="28"/>
                <w:szCs w:val="28"/>
              </w:rPr>
              <w:t>-1-11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（西北）楼梯走道</w:t>
            </w:r>
            <w:r>
              <w:rPr>
                <w:rFonts w:ascii="仿宋_GB2312" w:eastAsia="仿宋_GB2312"/>
                <w:sz w:val="28"/>
                <w:szCs w:val="28"/>
              </w:rPr>
              <w:t>-1-5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（东北）楼梯走道</w:t>
            </w:r>
            <w:r>
              <w:rPr>
                <w:rFonts w:ascii="仿宋_GB2312" w:eastAsia="仿宋_GB2312"/>
                <w:sz w:val="28"/>
                <w:szCs w:val="28"/>
              </w:rPr>
              <w:t>-1-5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（中厅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）楼梯走道</w:t>
            </w:r>
            <w:r>
              <w:rPr>
                <w:rFonts w:ascii="仿宋_GB2312" w:eastAsia="仿宋_GB2312"/>
                <w:sz w:val="28"/>
                <w:szCs w:val="28"/>
              </w:rPr>
              <w:t>-1-</w:t>
            </w:r>
            <w:r>
              <w:rPr>
                <w:rFonts w:hint="eastAsia" w:ascii="仿宋_GB2312" w:eastAsia="仿宋_GB2312"/>
                <w:sz w:val="28"/>
                <w:szCs w:val="28"/>
              </w:rPr>
              <w:t>楼顶水箱间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（中厅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）楼梯走道</w:t>
            </w:r>
            <w:r>
              <w:rPr>
                <w:rFonts w:ascii="仿宋_GB2312" w:eastAsia="仿宋_GB2312"/>
                <w:sz w:val="28"/>
                <w:szCs w:val="28"/>
              </w:rPr>
              <w:t>-1-</w:t>
            </w:r>
            <w:r>
              <w:rPr>
                <w:rFonts w:hint="eastAsia" w:ascii="仿宋_GB2312" w:eastAsia="仿宋_GB2312"/>
                <w:sz w:val="28"/>
                <w:szCs w:val="28"/>
              </w:rPr>
              <w:t>楼顶水箱间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（东南）楼梯间</w:t>
            </w:r>
            <w:r>
              <w:rPr>
                <w:rFonts w:ascii="仿宋_GB2312" w:eastAsia="仿宋_GB2312"/>
                <w:sz w:val="28"/>
                <w:szCs w:val="28"/>
              </w:rPr>
              <w:t>1-11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（西南）楼梯间</w:t>
            </w:r>
            <w:r>
              <w:rPr>
                <w:rFonts w:ascii="仿宋_GB2312" w:eastAsia="仿宋_GB2312"/>
                <w:sz w:val="28"/>
                <w:szCs w:val="28"/>
              </w:rPr>
              <w:t>1-11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（西北）楼梯间</w:t>
            </w:r>
            <w:r>
              <w:rPr>
                <w:rFonts w:ascii="仿宋_GB2312" w:eastAsia="仿宋_GB2312"/>
                <w:sz w:val="28"/>
                <w:szCs w:val="28"/>
              </w:rPr>
              <w:t>1-5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（东北）楼梯间</w:t>
            </w:r>
            <w:r>
              <w:rPr>
                <w:rFonts w:ascii="仿宋_GB2312" w:eastAsia="仿宋_GB2312"/>
                <w:sz w:val="28"/>
                <w:szCs w:val="28"/>
              </w:rPr>
              <w:t>1-5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（中厅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）楼梯间</w:t>
            </w:r>
            <w:r>
              <w:rPr>
                <w:rFonts w:ascii="仿宋_GB2312" w:eastAsia="仿宋_GB2312"/>
                <w:sz w:val="28"/>
                <w:szCs w:val="28"/>
              </w:rPr>
              <w:t>1-12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（中厅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）楼梯间</w:t>
            </w:r>
            <w:r>
              <w:rPr>
                <w:rFonts w:ascii="仿宋_GB2312" w:eastAsia="仿宋_GB2312"/>
                <w:sz w:val="28"/>
                <w:szCs w:val="28"/>
              </w:rPr>
              <w:t>1-12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（中厅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）电梯间</w:t>
            </w:r>
            <w:r>
              <w:rPr>
                <w:rFonts w:ascii="仿宋_GB2312" w:eastAsia="仿宋_GB2312"/>
                <w:sz w:val="28"/>
                <w:szCs w:val="28"/>
              </w:rPr>
              <w:t>1-11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（中厅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）电梯间</w:t>
            </w:r>
            <w:r>
              <w:rPr>
                <w:rFonts w:ascii="仿宋_GB2312" w:eastAsia="仿宋_GB2312"/>
                <w:sz w:val="28"/>
                <w:szCs w:val="28"/>
              </w:rPr>
              <w:t>1-11</w:t>
            </w:r>
            <w:r>
              <w:rPr>
                <w:rFonts w:hint="eastAsia" w:ascii="仿宋_GB2312" w:eastAsia="仿宋_GB2312"/>
                <w:sz w:val="28"/>
                <w:szCs w:val="28"/>
              </w:rPr>
              <w:t>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</w:t>
            </w:r>
            <w:r>
              <w:rPr>
                <w:rFonts w:ascii="仿宋_GB2312" w:eastAsia="仿宋_GB2312"/>
                <w:sz w:val="28"/>
                <w:szCs w:val="28"/>
              </w:rPr>
              <w:t>B</w:t>
            </w:r>
            <w:r>
              <w:rPr>
                <w:rFonts w:hint="eastAsia" w:ascii="仿宋_GB2312" w:eastAsia="仿宋_GB2312"/>
                <w:sz w:val="28"/>
                <w:szCs w:val="28"/>
              </w:rPr>
              <w:t>楼</w:t>
            </w: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一层</w:t>
            </w:r>
          </w:p>
        </w:tc>
        <w:tc>
          <w:tcPr>
            <w:tcW w:w="707" w:type="pct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充电式</w:t>
            </w:r>
            <w:r>
              <w:rPr>
                <w:rFonts w:ascii="仿宋_GB2312" w:eastAsia="仿宋_GB2312"/>
                <w:sz w:val="24"/>
                <w:szCs w:val="24"/>
              </w:rPr>
              <w:t>LED</w:t>
            </w:r>
            <w:r>
              <w:rPr>
                <w:rFonts w:hint="eastAsia" w:ascii="仿宋_GB2312" w:eastAsia="仿宋_GB2312"/>
                <w:sz w:val="24"/>
                <w:szCs w:val="24"/>
              </w:rPr>
              <w:t>双头消防应急照明灯</w:t>
            </w: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楼梯走道（左）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楼梯走道（中）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楼梯走道（右）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</w:t>
            </w:r>
            <w:r>
              <w:rPr>
                <w:rFonts w:ascii="仿宋_GB2312" w:eastAsia="仿宋_GB2312"/>
                <w:sz w:val="28"/>
                <w:szCs w:val="28"/>
              </w:rPr>
              <w:t>C</w:t>
            </w:r>
            <w:r>
              <w:rPr>
                <w:rFonts w:hint="eastAsia" w:ascii="仿宋_GB2312" w:eastAsia="仿宋_GB2312"/>
                <w:sz w:val="28"/>
                <w:szCs w:val="28"/>
              </w:rPr>
              <w:t>楼</w:t>
            </w: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一层</w:t>
            </w:r>
          </w:p>
        </w:tc>
        <w:tc>
          <w:tcPr>
            <w:tcW w:w="707" w:type="pct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充电式</w:t>
            </w:r>
            <w:r>
              <w:rPr>
                <w:rFonts w:ascii="仿宋_GB2312" w:eastAsia="仿宋_GB2312"/>
                <w:sz w:val="24"/>
                <w:szCs w:val="24"/>
              </w:rPr>
              <w:t>LED</w:t>
            </w:r>
            <w:r>
              <w:rPr>
                <w:rFonts w:hint="eastAsia" w:ascii="仿宋_GB2312" w:eastAsia="仿宋_GB2312"/>
                <w:sz w:val="24"/>
                <w:szCs w:val="24"/>
              </w:rPr>
              <w:t>双头消防应急照明灯</w:t>
            </w: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五层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楼梯走道（左）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楼梯走道（中）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楼梯走道（右）</w:t>
            </w:r>
          </w:p>
        </w:tc>
        <w:tc>
          <w:tcPr>
            <w:tcW w:w="707" w:type="pct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08" w:type="pct"/>
            <w:gridSpan w:val="2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</w:t>
            </w:r>
          </w:p>
        </w:tc>
        <w:tc>
          <w:tcPr>
            <w:tcW w:w="707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充电式</w:t>
            </w:r>
            <w:r>
              <w:rPr>
                <w:rFonts w:ascii="仿宋_GB2312" w:eastAsia="仿宋_GB2312"/>
                <w:sz w:val="24"/>
                <w:szCs w:val="24"/>
              </w:rPr>
              <w:t>LED</w:t>
            </w:r>
            <w:r>
              <w:rPr>
                <w:rFonts w:hint="eastAsia" w:ascii="仿宋_GB2312" w:eastAsia="仿宋_GB2312"/>
                <w:sz w:val="24"/>
                <w:szCs w:val="24"/>
              </w:rPr>
              <w:t>双头消防应急照明灯</w:t>
            </w:r>
          </w:p>
        </w:tc>
        <w:tc>
          <w:tcPr>
            <w:tcW w:w="585" w:type="pct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811</w:t>
            </w:r>
          </w:p>
        </w:tc>
      </w:tr>
    </w:tbl>
    <w:p>
      <w:pPr>
        <w:spacing w:line="560" w:lineRule="exact"/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96E77"/>
    <w:rsid w:val="6D9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2020-11-02T01:02:00Z</dcterms:created>
  <dc:creator>XG</dc:creator>
  <cp:lastModifiedBy>XG</cp:lastModifiedBy>
  <dcterms:modified xsi:type="dcterms:W3CDTF">2020-11-02T01:02:23Z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